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47AF2" w:rsidRPr="00D47AF2" w14:paraId="46886DED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C37C372" w14:textId="4D112307" w:rsidR="00D47AF2" w:rsidRPr="00D47AF2" w:rsidRDefault="00D47AF2" w:rsidP="00D47AF2">
            <w:pPr>
              <w:widowControl w:val="0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  <w:t>Komornik S</w:t>
            </w:r>
            <w:r w:rsidRPr="00D47A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pl-PL"/>
              </w:rPr>
              <w:t>ądowy</w:t>
            </w:r>
          </w:p>
          <w:p w14:paraId="4251C474" w14:textId="25799BE3" w:rsidR="00D47AF2" w:rsidRPr="00D47AF2" w:rsidRDefault="00D47AF2" w:rsidP="00D47AF2">
            <w:pPr>
              <w:widowControl w:val="0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pl-PL"/>
              </w:rPr>
              <w:t>przy Sądzie Rejonowym w Przeworsku</w:t>
            </w:r>
          </w:p>
          <w:p w14:paraId="55EA8063" w14:textId="455E0CDC" w:rsidR="00D47AF2" w:rsidRPr="00D47AF2" w:rsidRDefault="00D47AF2" w:rsidP="00D47AF2">
            <w:pPr>
              <w:widowControl w:val="0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Marcin Winiarz</w:t>
            </w:r>
          </w:p>
          <w:p w14:paraId="204C4589" w14:textId="77777777" w:rsidR="00D47AF2" w:rsidRPr="00D47AF2" w:rsidRDefault="00D47AF2" w:rsidP="00D47AF2">
            <w:pPr>
              <w:widowControl w:val="0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  <w:tab/>
              <w:t>Kancelaria Komornicza nr II w Przeworsku</w:t>
            </w:r>
          </w:p>
          <w:p w14:paraId="29145E01" w14:textId="77777777" w:rsidR="00D47AF2" w:rsidRPr="00D47AF2" w:rsidRDefault="00D47AF2" w:rsidP="00D47AF2">
            <w:pPr>
              <w:widowControl w:val="0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  <w:tab/>
              <w:t>pl.  Mickiewicza 12, 37-200 Przeworsk</w:t>
            </w:r>
          </w:p>
          <w:p w14:paraId="0D671FE9" w14:textId="77777777" w:rsidR="00D47AF2" w:rsidRPr="00D47AF2" w:rsidRDefault="00D47AF2" w:rsidP="00D47AF2">
            <w:pPr>
              <w:widowControl w:val="0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2"/>
                <w:szCs w:val="12"/>
                <w:lang w:eastAsia="pl-PL"/>
              </w:rPr>
            </w:pPr>
          </w:p>
          <w:p w14:paraId="483FF56D" w14:textId="77777777" w:rsidR="00D47AF2" w:rsidRPr="00D47AF2" w:rsidRDefault="00D47AF2" w:rsidP="00D47AF2">
            <w:pPr>
              <w:widowControl w:val="0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4"/>
                <w:szCs w:val="14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4"/>
                <w:szCs w:val="14"/>
                <w:lang w:eastAsia="pl-PL"/>
              </w:rPr>
              <w:t>Kancelaria czynna: pn.-pt. godz. 8 do 15</w:t>
            </w:r>
          </w:p>
          <w:p w14:paraId="58B730E3" w14:textId="77777777" w:rsidR="00D47AF2" w:rsidRPr="00D47AF2" w:rsidRDefault="00D47AF2" w:rsidP="00D47AF2">
            <w:pPr>
              <w:widowControl w:val="0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4"/>
                <w:szCs w:val="14"/>
                <w:lang w:eastAsia="pl-PL"/>
              </w:rPr>
              <w:t>Przyj</w:t>
            </w:r>
            <w:r w:rsidRPr="00D47AF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  <w:t>ęcia stron: środa godz. 10 do 14</w:t>
            </w:r>
          </w:p>
          <w:p w14:paraId="06DB4996" w14:textId="77777777" w:rsidR="00D47AF2" w:rsidRPr="00D47AF2" w:rsidRDefault="00D47AF2" w:rsidP="00D47AF2">
            <w:pPr>
              <w:widowControl w:val="0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</w:pPr>
            <w:r w:rsidRPr="00D47AF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  <w:t xml:space="preserve">tel./fax: 166 487 500 </w:t>
            </w:r>
          </w:p>
          <w:p w14:paraId="25A2C028" w14:textId="77777777" w:rsidR="00D47AF2" w:rsidRPr="00D47AF2" w:rsidRDefault="00D47AF2" w:rsidP="00D47AF2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47AF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FB28F00" w14:textId="77777777" w:rsidR="00D47AF2" w:rsidRPr="00D47AF2" w:rsidRDefault="00D47AF2" w:rsidP="00D47AF2">
            <w:pPr>
              <w:widowControl w:val="0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/>
              </w:rPr>
              <w:t>Przeworsk, dnia 24.04.2023r.</w:t>
            </w:r>
          </w:p>
          <w:p w14:paraId="3024F65A" w14:textId="77777777" w:rsidR="00D47AF2" w:rsidRPr="00D47AF2" w:rsidRDefault="00D47AF2" w:rsidP="00D47AF2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150B9E35" w14:textId="77777777" w:rsidR="00D47AF2" w:rsidRPr="00D47AF2" w:rsidRDefault="00D47AF2" w:rsidP="00D47AF2">
            <w:pPr>
              <w:widowControl w:val="0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IDAutomationHC39M" w:hAnsi="IDAutomationHC39M" w:cs="IDAutomationHC39M"/>
                <w:color w:val="000000"/>
                <w:kern w:val="0"/>
                <w:sz w:val="20"/>
                <w:szCs w:val="20"/>
                <w:lang w:eastAsia="pl-PL"/>
              </w:rPr>
            </w:pPr>
            <w:r w:rsidRPr="00D47AF2">
              <w:rPr>
                <w:rFonts w:ascii="IDAutomationHC39M" w:hAnsi="IDAutomationHC39M" w:cs="IDAutomationHC39M"/>
                <w:color w:val="000000"/>
                <w:kern w:val="0"/>
                <w:sz w:val="20"/>
                <w:szCs w:val="20"/>
                <w:lang w:eastAsia="pl-PL"/>
              </w:rPr>
              <w:t>*1023042400124*</w:t>
            </w:r>
          </w:p>
          <w:p w14:paraId="79C123FA" w14:textId="77777777" w:rsidR="00D47AF2" w:rsidRPr="00D47AF2" w:rsidRDefault="00D47AF2" w:rsidP="00D47AF2">
            <w:pPr>
              <w:widowControl w:val="0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IDAutomationHC39M" w:hAnsi="IDAutomationHC39M" w:cs="IDAutomationHC39M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D47AF2">
              <w:rPr>
                <w:rFonts w:ascii="Tahoma" w:hAnsi="Tahoma" w:cs="Tahoma"/>
                <w:color w:val="000000"/>
                <w:kern w:val="0"/>
                <w:sz w:val="24"/>
                <w:szCs w:val="24"/>
                <w:lang w:eastAsia="pl-PL"/>
              </w:rPr>
              <w:t>Sygn.akt</w:t>
            </w:r>
            <w:proofErr w:type="spellEnd"/>
            <w:r w:rsidRPr="00D47AF2">
              <w:rPr>
                <w:rFonts w:ascii="Tahoma" w:hAnsi="Tahoma" w:cs="Tahoma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D47AF2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Km 691/22</w:t>
            </w:r>
          </w:p>
          <w:p w14:paraId="018E2E07" w14:textId="77777777" w:rsidR="00D47AF2" w:rsidRPr="00D47AF2" w:rsidRDefault="00D47AF2" w:rsidP="00D47AF2">
            <w:pPr>
              <w:widowControl w:val="0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47AF2">
              <w:rPr>
                <w:rFonts w:ascii="Tahoma" w:hAnsi="Tahoma" w:cs="Tahoma"/>
                <w:color w:val="000000"/>
                <w:kern w:val="0"/>
                <w:sz w:val="14"/>
                <w:szCs w:val="14"/>
                <w:lang w:eastAsia="pl-PL"/>
              </w:rPr>
              <w:t>W odpowiedzi poda</w:t>
            </w:r>
            <w:r w:rsidRPr="00D47AF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l-PL"/>
              </w:rPr>
              <w:t>ć sygnaturę akt!</w:t>
            </w:r>
          </w:p>
        </w:tc>
      </w:tr>
    </w:tbl>
    <w:p w14:paraId="7AEDFD74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 xml:space="preserve">                                                </w:t>
      </w:r>
      <w:r w:rsidRPr="00D47AF2"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</w:t>
      </w:r>
    </w:p>
    <w:p w14:paraId="17214713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O B W I E S Z C Z E N I E</w:t>
      </w:r>
    </w:p>
    <w:p w14:paraId="72B06829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7498D8F0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Komornik S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ądowy przy Sądzie Rejonowym Przeworsku Marcin Winiarz Kancelaria Komornicza nr II w Przeworsku na podstawie art.953  </w:t>
      </w:r>
      <w:proofErr w:type="spellStart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kpc</w:t>
      </w:r>
      <w:proofErr w:type="spellEnd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w zw. z art. 955 </w:t>
      </w:r>
      <w:proofErr w:type="spellStart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kpc</w:t>
      </w:r>
      <w:proofErr w:type="spellEnd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zawiadamia, że w dniu:</w:t>
      </w:r>
    </w:p>
    <w:p w14:paraId="26C76CB2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4BA1A5BB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20 czerwca 2023r. o godz. 10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position w:val="6"/>
          <w:sz w:val="14"/>
          <w:szCs w:val="14"/>
          <w:u w:val="single"/>
          <w:lang w:eastAsia="pl-PL"/>
        </w:rPr>
        <w:t>30</w:t>
      </w:r>
    </w:p>
    <w:p w14:paraId="135FD233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5E0FAB25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w 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sali nr 1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w S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ądzie Rejonowym w Przeworsku odbędzie się:</w:t>
      </w:r>
    </w:p>
    <w:p w14:paraId="1A258243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  <w:lang w:eastAsia="pl-PL"/>
        </w:rPr>
      </w:pPr>
    </w:p>
    <w:p w14:paraId="2C02F352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P I E R W S Z A      L I C Y T A C J A</w:t>
      </w:r>
    </w:p>
    <w:p w14:paraId="083D665C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368C9B88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nieruchomo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ści oznaczonej jako:</w:t>
      </w:r>
    </w:p>
    <w:p w14:paraId="4B378E84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2D633D30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dzia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łka nr 1924/4 o powierzchni 0,2202 ha zabudowana: </w:t>
      </w:r>
    </w:p>
    <w:p w14:paraId="532F2F1B" w14:textId="77777777" w:rsidR="00D47AF2" w:rsidRPr="00D47AF2" w:rsidRDefault="00D47AF2" w:rsidP="00D47AF2">
      <w:pPr>
        <w:tabs>
          <w:tab w:val="left" w:pos="1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- parterowym niepodpiwniczonym budynkiem magazynowym o pow. zabudowy 323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i pow. u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żytkowej 286,05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</w:p>
    <w:p w14:paraId="542F0263" w14:textId="77777777" w:rsidR="00D47AF2" w:rsidRPr="00D47AF2" w:rsidRDefault="00D47AF2" w:rsidP="00D47AF2">
      <w:pPr>
        <w:tabs>
          <w:tab w:val="left" w:pos="1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- parterowym, niepodpiwniczonym budynkiem magazynowym o pow. zabudowy 233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i pow. u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żytkowej 189,72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</w:p>
    <w:p w14:paraId="2A7B792A" w14:textId="77777777" w:rsidR="00D47AF2" w:rsidRPr="00D47AF2" w:rsidRDefault="00D47AF2" w:rsidP="00D47AF2">
      <w:pPr>
        <w:tabs>
          <w:tab w:val="left" w:pos="1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- parterowym, niepodpiwniczonym budynkiem niemieszkalnym (by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łym zsypem wiórów) o pow. zabudowy 31,38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i pow. u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żytkowej 24,24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</w:p>
    <w:p w14:paraId="5DE41AFF" w14:textId="77777777" w:rsidR="00D47AF2" w:rsidRPr="00D47AF2" w:rsidRDefault="00D47AF2" w:rsidP="00D47AF2">
      <w:pPr>
        <w:tabs>
          <w:tab w:val="left" w:pos="1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- parterowym, niepodpiwniczonym budynkiem niemieszkalnym (bez drzwi i okien) o pow. zabudowy 26,59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w stanie </w:t>
      </w:r>
      <w:proofErr w:type="spellStart"/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zruderyzowanym</w:t>
      </w:r>
      <w:proofErr w:type="spellEnd"/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,</w:t>
      </w:r>
    </w:p>
    <w:p w14:paraId="12EC8134" w14:textId="77777777" w:rsidR="00D47AF2" w:rsidRPr="00D47AF2" w:rsidRDefault="00D47AF2" w:rsidP="00D47AF2">
      <w:pPr>
        <w:tabs>
          <w:tab w:val="left" w:pos="1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- parterowym, niepodpiwniczonym budynkiem str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óżówki o pow. zabudowy 11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i pow. u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żytkowej 9,36 m</w:t>
      </w:r>
      <w:r w:rsidRPr="00D47AF2">
        <w:rPr>
          <w:rFonts w:ascii="Times New Roman" w:hAnsi="Times New Roman" w:cs="Times New Roman"/>
          <w:color w:val="000000"/>
          <w:kern w:val="0"/>
          <w:position w:val="6"/>
          <w:sz w:val="12"/>
          <w:szCs w:val="12"/>
          <w:lang w:eastAsia="pl-PL"/>
        </w:rPr>
        <w:t>2</w:t>
      </w:r>
    </w:p>
    <w:p w14:paraId="16257632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po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łożona w Przeworsku przy ul. Niepodległości 57, Gmina Miasto Przeworsk, powiat przeworski, województwo Podkarpackie, objęta księgą wieczystą nr PR1R/00036993/9 prowadzoną przez Sąd Rejonowy w Przeworsku IV Wydział Ksiąg Wieczystych,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 xml:space="preserve"> </w:t>
      </w:r>
    </w:p>
    <w:p w14:paraId="36340886" w14:textId="77777777" w:rsidR="00D47AF2" w:rsidRPr="00D47AF2" w:rsidRDefault="00D47AF2" w:rsidP="00D47AF2">
      <w:pPr>
        <w:widowControl w:val="0"/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stanowi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ąca własność dłużnika: Zygmunt </w:t>
      </w:r>
      <w:proofErr w:type="spellStart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Bącal</w:t>
      </w:r>
      <w:proofErr w:type="spellEnd"/>
    </w:p>
    <w:p w14:paraId="0537C48A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477B9D07" w14:textId="77777777" w:rsidR="00D47AF2" w:rsidRPr="00D47AF2" w:rsidRDefault="00D47AF2" w:rsidP="00D47AF2">
      <w:pPr>
        <w:widowControl w:val="0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autoSpaceDE w:val="0"/>
        <w:autoSpaceDN w:val="0"/>
        <w:adjustRightInd w:val="0"/>
        <w:spacing w:after="0" w:line="240" w:lineRule="auto"/>
        <w:ind w:left="737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Nieruchomo</w:t>
      </w: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 xml:space="preserve">ść oszacowana jest na kwotę: </w:t>
      </w: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  <w:t xml:space="preserve">532 000,00  zł  </w:t>
      </w:r>
    </w:p>
    <w:p w14:paraId="6C43E68A" w14:textId="77777777" w:rsidR="00D47AF2" w:rsidRPr="00D47AF2" w:rsidRDefault="00D47AF2" w:rsidP="00D47AF2">
      <w:pPr>
        <w:widowControl w:val="0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autoSpaceDE w:val="0"/>
        <w:autoSpaceDN w:val="0"/>
        <w:adjustRightInd w:val="0"/>
        <w:spacing w:after="0" w:line="240" w:lineRule="auto"/>
        <w:ind w:left="737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 xml:space="preserve">Cena wywoławcza wynosi: </w:t>
      </w: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  <w:t xml:space="preserve">399 000,00  zł </w:t>
      </w:r>
    </w:p>
    <w:p w14:paraId="03F0238A" w14:textId="77777777" w:rsidR="00D47AF2" w:rsidRPr="00D47AF2" w:rsidRDefault="00D47AF2" w:rsidP="00D47AF2">
      <w:pPr>
        <w:widowControl w:val="0"/>
        <w:tabs>
          <w:tab w:val="left" w:pos="737"/>
          <w:tab w:val="left" w:pos="1134"/>
          <w:tab w:val="right" w:pos="8305"/>
          <w:tab w:val="left" w:pos="10206"/>
        </w:tabs>
        <w:autoSpaceDE w:val="0"/>
        <w:autoSpaceDN w:val="0"/>
        <w:adjustRightInd w:val="0"/>
        <w:spacing w:after="0" w:line="240" w:lineRule="auto"/>
        <w:ind w:left="737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  <w:tab/>
      </w:r>
    </w:p>
    <w:p w14:paraId="2E900BB9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Przyst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ępujący do licytacji zobowiązany jest złożyć 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r</w:t>
      </w: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ękojmię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w wysoko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ści 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10%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ceny oszacowania nieruchomo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ści, tj. kwotę 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53 200,00 z</w:t>
      </w:r>
      <w:r w:rsidRPr="00D47AF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ł</w:t>
      </w: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najp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óźniej w dniu poprzedzającym przetarg. </w:t>
      </w:r>
    </w:p>
    <w:p w14:paraId="671E8096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1837E62B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3385B3C6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Prawa os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2B4E7697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7C285984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32FF14EA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W terminie dw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óch tygodni przed licytacją można oglądać nieruchomości oraz dokonać wglądu do protokołu opisu i oszacowania nieruchomości.</w:t>
      </w:r>
    </w:p>
    <w:p w14:paraId="7ED22780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</w:p>
    <w:p w14:paraId="5F42592D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Zgodnie z przepisem art.976 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§ 1 </w:t>
      </w:r>
      <w:proofErr w:type="spellStart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kpc</w:t>
      </w:r>
      <w:proofErr w:type="spellEnd"/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0F6400F9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0"/>
          <w:szCs w:val="10"/>
          <w:lang w:eastAsia="pl-PL"/>
        </w:rPr>
      </w:pPr>
      <w:r w:rsidRPr="00D47AF2"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  <w:lang w:eastAsia="pl-PL"/>
        </w:rPr>
        <w:t xml:space="preserve">              </w:t>
      </w:r>
    </w:p>
    <w:p w14:paraId="0A85F9F9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                    Szczeg</w:t>
      </w:r>
      <w:r w:rsidRPr="00D47AF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ółowych informacji udziela  Komornik pod nr tel.16 648 75 00</w:t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</w:r>
      <w:r w:rsidRPr="00D47AF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ab/>
      </w:r>
    </w:p>
    <w:p w14:paraId="50D36AB2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</w:p>
    <w:p w14:paraId="59B11311" w14:textId="77777777" w:rsidR="00D47AF2" w:rsidRPr="00D47AF2" w:rsidRDefault="00D47AF2" w:rsidP="00D47AF2">
      <w:pPr>
        <w:widowControl w:val="0"/>
        <w:tabs>
          <w:tab w:val="left" w:pos="1134"/>
          <w:tab w:val="left" w:pos="1332"/>
          <w:tab w:val="left" w:pos="5414"/>
        </w:tabs>
        <w:autoSpaceDE w:val="0"/>
        <w:autoSpaceDN w:val="0"/>
        <w:adjustRightInd w:val="0"/>
        <w:spacing w:after="0" w:line="240" w:lineRule="auto"/>
        <w:ind w:left="5414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K  O  M  O  R  N  I  K</w:t>
      </w:r>
    </w:p>
    <w:p w14:paraId="79355C4C" w14:textId="77777777" w:rsidR="00D47AF2" w:rsidRPr="00D47AF2" w:rsidRDefault="00D47AF2" w:rsidP="00D47AF2">
      <w:pPr>
        <w:widowControl w:val="0"/>
        <w:tabs>
          <w:tab w:val="left" w:pos="1134"/>
          <w:tab w:val="left" w:pos="1332"/>
          <w:tab w:val="left" w:pos="5414"/>
        </w:tabs>
        <w:autoSpaceDE w:val="0"/>
        <w:autoSpaceDN w:val="0"/>
        <w:adjustRightInd w:val="0"/>
        <w:spacing w:after="0" w:line="240" w:lineRule="auto"/>
        <w:ind w:left="5414" w:firstLine="396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</w:p>
    <w:p w14:paraId="0F22C9BF" w14:textId="77777777" w:rsidR="00D47AF2" w:rsidRPr="00D47AF2" w:rsidRDefault="00D47AF2" w:rsidP="00D47AF2">
      <w:pPr>
        <w:widowControl w:val="0"/>
        <w:tabs>
          <w:tab w:val="left" w:pos="1134"/>
          <w:tab w:val="left" w:pos="1332"/>
          <w:tab w:val="left" w:pos="5414"/>
        </w:tabs>
        <w:autoSpaceDE w:val="0"/>
        <w:autoSpaceDN w:val="0"/>
        <w:adjustRightInd w:val="0"/>
        <w:spacing w:after="0" w:line="240" w:lineRule="auto"/>
        <w:ind w:left="5414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D47AF2"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  <w:t>Marcin Winiarz</w:t>
      </w:r>
    </w:p>
    <w:p w14:paraId="44A25ADC" w14:textId="77777777" w:rsidR="00D47AF2" w:rsidRPr="00D47AF2" w:rsidRDefault="00D47AF2" w:rsidP="00D4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eastAsia="pl-PL"/>
        </w:rPr>
      </w:pPr>
    </w:p>
    <w:p w14:paraId="40A112DE" w14:textId="77777777" w:rsidR="00EB3877" w:rsidRDefault="00EB3877"/>
    <w:sectPr w:rsidR="00EB3877" w:rsidSect="008B535E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10"/>
    <w:rsid w:val="005C6710"/>
    <w:rsid w:val="007B278A"/>
    <w:rsid w:val="009F1125"/>
    <w:rsid w:val="00D47AF2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E801"/>
  <w15:chartTrackingRefBased/>
  <w15:docId w15:val="{4721EC31-FD2D-4FD4-B3A2-09272F3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47A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2023-04-24T12:52:00Z</dcterms:created>
  <dcterms:modified xsi:type="dcterms:W3CDTF">2023-04-24T12:52:00Z</dcterms:modified>
</cp:coreProperties>
</file>